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734" w:rsidRDefault="00B94734">
      <w:r>
        <w:t>Week 3 Discussion: Resilience and Change</w:t>
      </w:r>
    </w:p>
    <w:p w:rsidR="00B94734" w:rsidRPr="00B94734" w:rsidRDefault="00B94734" w:rsidP="00B94734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B94734">
        <w:rPr>
          <w:rFonts w:ascii="Arial" w:eastAsia="Times New Roman" w:hAnsi="Arial" w:cs="Arial"/>
          <w:color w:val="2D3B45"/>
          <w:sz w:val="24"/>
          <w:szCs w:val="24"/>
        </w:rPr>
        <w:t>Change is part of our daily healthcare environment. Clinical nursing judgements based on quality and safety, as well as protocols and standards, reflect our patient-centered care values.</w:t>
      </w:r>
    </w:p>
    <w:p w:rsidR="00B94734" w:rsidRPr="00B94734" w:rsidRDefault="00B94734" w:rsidP="00B947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B94734">
        <w:rPr>
          <w:rFonts w:ascii="Arial" w:eastAsia="Times New Roman" w:hAnsi="Arial" w:cs="Arial"/>
          <w:color w:val="2D3B45"/>
          <w:sz w:val="24"/>
          <w:szCs w:val="24"/>
        </w:rPr>
        <w:t>What steps could you take to develop more resilience in your practice setting?</w:t>
      </w:r>
    </w:p>
    <w:p w:rsidR="00B94734" w:rsidRDefault="00B94734" w:rsidP="00B9473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B94734">
        <w:rPr>
          <w:rFonts w:ascii="Arial" w:eastAsia="Times New Roman" w:hAnsi="Arial" w:cs="Arial"/>
          <w:color w:val="2D3B45"/>
          <w:sz w:val="24"/>
          <w:szCs w:val="24"/>
        </w:rPr>
        <w:t>How might you communicate a change in practice to patients and nursing peers?</w:t>
      </w:r>
    </w:p>
    <w:p w:rsidR="00B94734" w:rsidRDefault="00B94734" w:rsidP="00B94734">
      <w:p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</w:p>
    <w:p w:rsidR="00B94734" w:rsidRDefault="00B94734" w:rsidP="00B94734">
      <w:p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>
        <w:rPr>
          <w:rFonts w:ascii="Arial" w:eastAsia="Times New Roman" w:hAnsi="Arial" w:cs="Arial"/>
          <w:color w:val="2D3B45"/>
          <w:sz w:val="24"/>
          <w:szCs w:val="24"/>
        </w:rPr>
        <w:t>References:</w:t>
      </w:r>
    </w:p>
    <w:p w:rsidR="00B94734" w:rsidRDefault="00B94734" w:rsidP="00B94734">
      <w:pPr>
        <w:shd w:val="clear" w:color="auto" w:fill="FFFFFF"/>
        <w:spacing w:before="100" w:beforeAutospacing="1" w:after="0" w:line="240" w:lineRule="auto"/>
        <w:ind w:left="120"/>
        <w:rPr>
          <w:rFonts w:ascii="Arial" w:hAnsi="Arial" w:cs="Arial"/>
          <w:color w:val="2D3B45"/>
          <w:shd w:val="clear" w:color="auto" w:fill="FFFFFF"/>
        </w:rPr>
      </w:pPr>
      <w:r>
        <w:rPr>
          <w:rFonts w:ascii="Arial" w:hAnsi="Arial" w:cs="Arial"/>
          <w:color w:val="2D3B45"/>
          <w:shd w:val="clear" w:color="auto" w:fill="FFFFFF"/>
        </w:rPr>
        <w:t>American Nurses Association. (2015). </w:t>
      </w:r>
      <w:proofErr w:type="gramStart"/>
      <w:r>
        <w:rPr>
          <w:rStyle w:val="Emphasis"/>
          <w:rFonts w:ascii="Arial" w:hAnsi="Arial" w:cs="Arial"/>
          <w:color w:val="2D3B45"/>
          <w:shd w:val="clear" w:color="auto" w:fill="FFFFFF"/>
        </w:rPr>
        <w:t>Nursing</w:t>
      </w:r>
      <w:proofErr w:type="gramEnd"/>
      <w:r>
        <w:rPr>
          <w:rStyle w:val="Emphasis"/>
          <w:rFonts w:ascii="Arial" w:hAnsi="Arial" w:cs="Arial"/>
          <w:color w:val="2D3B45"/>
          <w:shd w:val="clear" w:color="auto" w:fill="FFFFFF"/>
        </w:rPr>
        <w:t>: Scope and standards of practice </w:t>
      </w:r>
      <w:r>
        <w:rPr>
          <w:rFonts w:ascii="Arial" w:hAnsi="Arial" w:cs="Arial"/>
          <w:color w:val="2D3B45"/>
          <w:shd w:val="clear" w:color="auto" w:fill="FFFFFF"/>
        </w:rPr>
        <w:t>(3rd ed.). Silver Spring, MD: Author. </w:t>
      </w:r>
    </w:p>
    <w:p w:rsidR="00B94734" w:rsidRDefault="00B94734" w:rsidP="00B94734">
      <w:pPr>
        <w:shd w:val="clear" w:color="auto" w:fill="FFFFFF"/>
        <w:spacing w:before="100" w:beforeAutospacing="1" w:after="0" w:line="240" w:lineRule="auto"/>
        <w:ind w:left="120"/>
        <w:rPr>
          <w:rFonts w:ascii="Arial" w:hAnsi="Arial" w:cs="Arial"/>
          <w:color w:val="2D3B45"/>
          <w:shd w:val="clear" w:color="auto" w:fill="FFFFFF"/>
        </w:rPr>
      </w:pPr>
      <w:r>
        <w:rPr>
          <w:rFonts w:ascii="Arial" w:hAnsi="Arial" w:cs="Arial"/>
          <w:color w:val="2D3B45"/>
          <w:shd w:val="clear" w:color="auto" w:fill="FFFFFF"/>
        </w:rPr>
        <w:t>AND use another outside scholarly source as well.</w:t>
      </w:r>
    </w:p>
    <w:p w:rsidR="00256136" w:rsidRPr="00B94734" w:rsidRDefault="00256136" w:rsidP="00B94734">
      <w:p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</w:p>
    <w:p w:rsidR="00256136" w:rsidRPr="00256136" w:rsidRDefault="00256136" w:rsidP="00256136">
      <w:pPr>
        <w:shd w:val="clear" w:color="auto" w:fill="FFFFFF"/>
        <w:spacing w:before="240" w:after="24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256136">
        <w:rPr>
          <w:rFonts w:ascii="Helvetica" w:eastAsia="Times New Roman" w:hAnsi="Helvetica" w:cs="Helvetica"/>
          <w:color w:val="2D3B45"/>
          <w:sz w:val="36"/>
          <w:szCs w:val="36"/>
        </w:rPr>
        <w:t>Required Reading</w:t>
      </w:r>
    </w:p>
    <w:p w:rsidR="00256136" w:rsidRPr="00256136" w:rsidRDefault="00256136" w:rsidP="00256136">
      <w:pPr>
        <w:shd w:val="clear" w:color="auto" w:fill="FFFFFF"/>
        <w:spacing w:before="180" w:after="180" w:line="240" w:lineRule="auto"/>
        <w:ind w:hanging="1050"/>
        <w:rPr>
          <w:rFonts w:ascii="Arial" w:eastAsia="Times New Roman" w:hAnsi="Arial" w:cs="Arial"/>
          <w:color w:val="2D3B45"/>
          <w:sz w:val="24"/>
          <w:szCs w:val="24"/>
        </w:rPr>
      </w:pPr>
      <w:r w:rsidRPr="00256136">
        <w:rPr>
          <w:rFonts w:ascii="Arial" w:eastAsia="Times New Roman" w:hAnsi="Arial" w:cs="Arial"/>
          <w:color w:val="2D3B45"/>
          <w:sz w:val="24"/>
          <w:szCs w:val="24"/>
        </w:rPr>
        <w:t>American Nurses Association. (2015). </w:t>
      </w:r>
      <w:proofErr w:type="gramStart"/>
      <w:r w:rsidRPr="00256136">
        <w:rPr>
          <w:rFonts w:ascii="Arial" w:eastAsia="Times New Roman" w:hAnsi="Arial" w:cs="Arial"/>
          <w:i/>
          <w:iCs/>
          <w:color w:val="2D3B45"/>
          <w:sz w:val="24"/>
          <w:szCs w:val="24"/>
        </w:rPr>
        <w:t>Nursing</w:t>
      </w:r>
      <w:proofErr w:type="gramEnd"/>
      <w:r w:rsidRPr="00256136">
        <w:rPr>
          <w:rFonts w:ascii="Arial" w:eastAsia="Times New Roman" w:hAnsi="Arial" w:cs="Arial"/>
          <w:i/>
          <w:iCs/>
          <w:color w:val="2D3B45"/>
          <w:sz w:val="24"/>
          <w:szCs w:val="24"/>
        </w:rPr>
        <w:t>: Scope and standards of practice </w:t>
      </w:r>
      <w:r w:rsidRPr="00256136">
        <w:rPr>
          <w:rFonts w:ascii="Arial" w:eastAsia="Times New Roman" w:hAnsi="Arial" w:cs="Arial"/>
          <w:color w:val="2D3B45"/>
          <w:sz w:val="24"/>
          <w:szCs w:val="24"/>
        </w:rPr>
        <w:t>(3rd ed.). Silver Spring, MD: Author. p. 21-24</w:t>
      </w:r>
    </w:p>
    <w:p w:rsidR="00256136" w:rsidRPr="00256136" w:rsidRDefault="00256136" w:rsidP="00256136">
      <w:pPr>
        <w:shd w:val="clear" w:color="auto" w:fill="FFFFFF"/>
        <w:spacing w:before="180" w:after="180" w:line="240" w:lineRule="auto"/>
        <w:ind w:hanging="1050"/>
        <w:rPr>
          <w:rFonts w:ascii="Arial" w:eastAsia="Times New Roman" w:hAnsi="Arial" w:cs="Arial"/>
          <w:color w:val="2D3B45"/>
          <w:sz w:val="24"/>
          <w:szCs w:val="24"/>
        </w:rPr>
      </w:pPr>
      <w:r w:rsidRPr="00256136">
        <w:rPr>
          <w:rFonts w:ascii="Arial" w:eastAsia="Times New Roman" w:hAnsi="Arial" w:cs="Arial"/>
          <w:color w:val="2D3B45"/>
          <w:sz w:val="24"/>
          <w:szCs w:val="24"/>
        </w:rPr>
        <w:t>For the eBook version of ANA Scope and Standards, 3</w:t>
      </w:r>
      <w:r w:rsidRPr="00256136">
        <w:rPr>
          <w:rFonts w:ascii="Arial" w:eastAsia="Times New Roman" w:hAnsi="Arial" w:cs="Arial"/>
          <w:color w:val="2D3B45"/>
          <w:sz w:val="18"/>
          <w:szCs w:val="18"/>
          <w:vertAlign w:val="superscript"/>
        </w:rPr>
        <w:t>rd</w:t>
      </w:r>
      <w:r w:rsidRPr="00256136">
        <w:rPr>
          <w:rFonts w:ascii="Arial" w:eastAsia="Times New Roman" w:hAnsi="Arial" w:cs="Arial"/>
          <w:color w:val="2D3B45"/>
          <w:sz w:val="24"/>
          <w:szCs w:val="24"/>
        </w:rPr>
        <w:t> ed., read: pp. 31-34</w:t>
      </w:r>
    </w:p>
    <w:p w:rsidR="00256136" w:rsidRPr="00256136" w:rsidRDefault="00256136" w:rsidP="00256136">
      <w:pPr>
        <w:shd w:val="clear" w:color="auto" w:fill="FFFFFF"/>
        <w:spacing w:before="240" w:after="24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256136">
        <w:rPr>
          <w:rFonts w:ascii="Helvetica" w:eastAsia="Times New Roman" w:hAnsi="Helvetica" w:cs="Helvetica"/>
          <w:color w:val="2D3B45"/>
          <w:sz w:val="36"/>
          <w:szCs w:val="36"/>
        </w:rPr>
        <w:t>Required Article</w:t>
      </w:r>
    </w:p>
    <w:p w:rsidR="00256136" w:rsidRPr="00256136" w:rsidRDefault="00256136" w:rsidP="00256136">
      <w:pPr>
        <w:shd w:val="clear" w:color="auto" w:fill="FFFFFF"/>
        <w:spacing w:before="180" w:after="180" w:line="240" w:lineRule="auto"/>
        <w:ind w:hanging="1050"/>
        <w:rPr>
          <w:rFonts w:ascii="Arial" w:eastAsia="Times New Roman" w:hAnsi="Arial" w:cs="Arial"/>
          <w:color w:val="2D3B45"/>
          <w:sz w:val="24"/>
          <w:szCs w:val="24"/>
        </w:rPr>
      </w:pPr>
      <w:r w:rsidRPr="00256136">
        <w:rPr>
          <w:rFonts w:ascii="Arial" w:eastAsia="Times New Roman" w:hAnsi="Arial" w:cs="Arial"/>
          <w:color w:val="2D3B45"/>
          <w:sz w:val="24"/>
          <w:szCs w:val="24"/>
        </w:rPr>
        <w:t>Garcia-</w:t>
      </w:r>
      <w:proofErr w:type="spellStart"/>
      <w:r w:rsidRPr="00256136">
        <w:rPr>
          <w:rFonts w:ascii="Arial" w:eastAsia="Times New Roman" w:hAnsi="Arial" w:cs="Arial"/>
          <w:color w:val="2D3B45"/>
          <w:sz w:val="24"/>
          <w:szCs w:val="24"/>
        </w:rPr>
        <w:t>Izquierdo</w:t>
      </w:r>
      <w:proofErr w:type="spellEnd"/>
      <w:r w:rsidRPr="00256136">
        <w:rPr>
          <w:rFonts w:ascii="Arial" w:eastAsia="Times New Roman" w:hAnsi="Arial" w:cs="Arial"/>
          <w:color w:val="2D3B45"/>
          <w:sz w:val="24"/>
          <w:szCs w:val="24"/>
        </w:rPr>
        <w:t xml:space="preserve">, M., </w:t>
      </w:r>
      <w:proofErr w:type="spellStart"/>
      <w:r w:rsidRPr="00256136">
        <w:rPr>
          <w:rFonts w:ascii="Arial" w:eastAsia="Times New Roman" w:hAnsi="Arial" w:cs="Arial"/>
          <w:color w:val="2D3B45"/>
          <w:sz w:val="24"/>
          <w:szCs w:val="24"/>
        </w:rPr>
        <w:t>Meseguer</w:t>
      </w:r>
      <w:proofErr w:type="spellEnd"/>
      <w:r w:rsidRPr="00256136">
        <w:rPr>
          <w:rFonts w:ascii="Arial" w:eastAsia="Times New Roman" w:hAnsi="Arial" w:cs="Arial"/>
          <w:color w:val="2D3B45"/>
          <w:sz w:val="24"/>
          <w:szCs w:val="24"/>
        </w:rPr>
        <w:t xml:space="preserve"> de Pedro, M., Rio-</w:t>
      </w:r>
      <w:proofErr w:type="spellStart"/>
      <w:r w:rsidRPr="00256136">
        <w:rPr>
          <w:rFonts w:ascii="Arial" w:eastAsia="Times New Roman" w:hAnsi="Arial" w:cs="Arial"/>
          <w:color w:val="2D3B45"/>
          <w:sz w:val="24"/>
          <w:szCs w:val="24"/>
        </w:rPr>
        <w:t>Risqez</w:t>
      </w:r>
      <w:proofErr w:type="spellEnd"/>
      <w:r w:rsidRPr="00256136">
        <w:rPr>
          <w:rFonts w:ascii="Arial" w:eastAsia="Times New Roman" w:hAnsi="Arial" w:cs="Arial"/>
          <w:color w:val="2D3B45"/>
          <w:sz w:val="24"/>
          <w:szCs w:val="24"/>
        </w:rPr>
        <w:t xml:space="preserve">, I., &amp; </w:t>
      </w:r>
      <w:proofErr w:type="spellStart"/>
      <w:r w:rsidRPr="00256136">
        <w:rPr>
          <w:rFonts w:ascii="Arial" w:eastAsia="Times New Roman" w:hAnsi="Arial" w:cs="Arial"/>
          <w:color w:val="2D3B45"/>
          <w:sz w:val="24"/>
          <w:szCs w:val="24"/>
        </w:rPr>
        <w:t>Soler</w:t>
      </w:r>
      <w:proofErr w:type="spellEnd"/>
      <w:r w:rsidRPr="00256136">
        <w:rPr>
          <w:rFonts w:ascii="Arial" w:eastAsia="Times New Roman" w:hAnsi="Arial" w:cs="Arial"/>
          <w:color w:val="2D3B45"/>
          <w:sz w:val="24"/>
          <w:szCs w:val="24"/>
        </w:rPr>
        <w:t xml:space="preserve"> Sanchez, I. (2018). Resilience as a moderator of psychological health in situations of chronic stress (burnout) in a sample of hospital nurses. </w:t>
      </w:r>
      <w:r w:rsidRPr="00256136">
        <w:rPr>
          <w:rFonts w:ascii="Arial" w:eastAsia="Times New Roman" w:hAnsi="Arial" w:cs="Arial"/>
          <w:i/>
          <w:iCs/>
          <w:color w:val="2D3B45"/>
          <w:sz w:val="24"/>
          <w:szCs w:val="24"/>
        </w:rPr>
        <w:t>The Journal of Nursing Scholarship</w:t>
      </w:r>
      <w:r w:rsidRPr="00256136">
        <w:rPr>
          <w:rFonts w:ascii="Arial" w:eastAsia="Times New Roman" w:hAnsi="Arial" w:cs="Arial"/>
          <w:color w:val="2D3B45"/>
          <w:sz w:val="24"/>
          <w:szCs w:val="24"/>
        </w:rPr>
        <w:t>,</w:t>
      </w:r>
      <w:r w:rsidRPr="00256136">
        <w:rPr>
          <w:rFonts w:ascii="Arial" w:eastAsia="Times New Roman" w:hAnsi="Arial" w:cs="Arial"/>
          <w:i/>
          <w:iCs/>
          <w:color w:val="2D3B45"/>
          <w:sz w:val="24"/>
          <w:szCs w:val="24"/>
        </w:rPr>
        <w:t> 50</w:t>
      </w:r>
      <w:r w:rsidRPr="00256136">
        <w:rPr>
          <w:rFonts w:ascii="Arial" w:eastAsia="Times New Roman" w:hAnsi="Arial" w:cs="Arial"/>
          <w:color w:val="2D3B45"/>
          <w:sz w:val="24"/>
          <w:szCs w:val="24"/>
        </w:rPr>
        <w:t>(2), 228-236. </w:t>
      </w:r>
      <w:hyperlink r:id="rId5" w:tgtFrame="_blank" w:history="1">
        <w:r w:rsidRPr="0025613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https://chamberlainuniversity.idm.oclc.org/login?url=https://search.ebscohost.com/login.aspx?direct=true&amp;db=mdc&amp;AN=29266720&amp;site=eds-live&amp;scope=site</w:t>
        </w:r>
      </w:hyperlink>
    </w:p>
    <w:p w:rsidR="00B94734" w:rsidRDefault="00B94734">
      <w:bookmarkStart w:id="0" w:name="_GoBack"/>
      <w:bookmarkEnd w:id="0"/>
    </w:p>
    <w:sectPr w:rsidR="00B9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F842DE"/>
    <w:multiLevelType w:val="multilevel"/>
    <w:tmpl w:val="20E69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734"/>
    <w:rsid w:val="00256136"/>
    <w:rsid w:val="00B94734"/>
    <w:rsid w:val="00C9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8CB308-41DE-4AA1-8FDC-869AF9A3F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947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2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amberlainuniversity.idm.oclc.org/login?url=https://search.ebscohost.com/login.aspx?direct=true&amp;db=mdc&amp;AN=29266720&amp;site=eds-live&amp;scope=si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DMH</Company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C. Funderburk</dc:creator>
  <cp:keywords/>
  <dc:description/>
  <cp:lastModifiedBy>Marissa C. Funderburk</cp:lastModifiedBy>
  <cp:revision>2</cp:revision>
  <dcterms:created xsi:type="dcterms:W3CDTF">2019-02-26T16:53:00Z</dcterms:created>
  <dcterms:modified xsi:type="dcterms:W3CDTF">2019-02-26T17:28:00Z</dcterms:modified>
</cp:coreProperties>
</file>